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009</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（二）地块位置：惠城区横沥镇霞塱片区；</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（三）地块编号：HLXL01-01；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w:t>
      </w:r>
      <w:r>
        <w:rPr>
          <w:rFonts w:hint="eastAsia" w:ascii="仿宋_GB2312" w:hAnsi="仿宋_GB2312" w:eastAsia="仿宋_GB2312" w:cs="仿宋_GB2312"/>
          <w:sz w:val="32"/>
          <w:szCs w:val="32"/>
          <w:highlight w:val="none"/>
          <w:shd w:val="clear" w:color="auto" w:fill="auto"/>
          <w:lang w:val="en-US" w:eastAsia="zh-CN"/>
        </w:rPr>
        <w:t>210019号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宗地使用权面积为：20000</w:t>
      </w:r>
      <w:r>
        <w:rPr>
          <w:rFonts w:hint="default" w:ascii="仿宋_GB2312" w:hAnsi="仿宋_GB2312" w:eastAsia="仿宋_GB2312" w:cs="仿宋_GB2312"/>
          <w:sz w:val="32"/>
          <w:szCs w:val="32"/>
          <w:highlight w:val="none"/>
          <w:shd w:val="clear" w:color="auto" w:fill="auto"/>
          <w:lang w:val="en-US" w:eastAsia="zh-CN"/>
        </w:rPr>
        <w:t>.32</w:t>
      </w:r>
      <w:r>
        <w:rPr>
          <w:rFonts w:hint="eastAsia" w:ascii="仿宋_GB2312" w:hAnsi="仿宋_GB2312" w:eastAsia="仿宋_GB2312" w:cs="仿宋_GB2312"/>
          <w:sz w:val="32"/>
          <w:szCs w:val="32"/>
          <w:highlight w:val="none"/>
          <w:shd w:val="clear" w:color="auto" w:fill="auto"/>
          <w:lang w:val="en-US" w:eastAsia="zh-CN"/>
        </w:rPr>
        <w:t>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（六）计算指标用地面积为：23070平方米；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w:t>
      </w:r>
      <w:r>
        <w:rPr>
          <w:rFonts w:hint="default" w:ascii="仿宋_GB2312" w:hAnsi="仿宋_GB2312" w:eastAsia="仿宋_GB2312" w:cs="仿宋_GB2312"/>
          <w:sz w:val="32"/>
          <w:szCs w:val="32"/>
          <w:highlight w:val="none"/>
          <w:shd w:val="clear" w:color="auto" w:fill="auto"/>
          <w:lang w:val="en-US" w:eastAsia="zh-CN"/>
        </w:rPr>
        <w:t>36912-57675</w:t>
      </w:r>
      <w:r>
        <w:rPr>
          <w:rFonts w:hint="eastAsia" w:ascii="仿宋_GB2312" w:hAnsi="仿宋_GB2312" w:eastAsia="仿宋_GB2312" w:cs="仿宋_GB2312"/>
          <w:sz w:val="32"/>
          <w:szCs w:val="32"/>
          <w:highlight w:val="none"/>
          <w:shd w:val="clear" w:color="auto" w:fill="auto"/>
          <w:lang w:val="en-US" w:eastAsia="zh-CN"/>
        </w:rPr>
        <w:t>（其中配套设施建筑面积≥100）；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w:t>
      </w:r>
      <w:r>
        <w:rPr>
          <w:rFonts w:hint="default"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十）机动车停车位配建标准：办公及生活服务设施每100平方米计容积率建筑面积≥1.0个，厂房仓储每100平方米计容积率建筑面积≥0.3个。停车场须按不低于总停车位的10%的比例配置充电设施；</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十一</w:t>
      </w:r>
      <w:r>
        <w:rPr>
          <w:rFonts w:hint="eastAsia" w:ascii="仿宋_GB2312" w:hAnsi="仿宋_GB2312" w:eastAsia="仿宋_GB2312" w:cs="仿宋_GB2312"/>
          <w:sz w:val="32"/>
          <w:szCs w:val="32"/>
          <w:highlight w:val="none"/>
          <w:shd w:val="clear" w:color="auto" w:fill="auto"/>
        </w:rPr>
        <w:t>）土地用途为：</w:t>
      </w:r>
      <w:r>
        <w:rPr>
          <w:rFonts w:hint="eastAsia" w:ascii="仿宋_GB2312" w:hAnsi="仿宋_GB2312" w:eastAsia="仿宋_GB2312" w:cs="仿宋_GB2312"/>
          <w:sz w:val="32"/>
          <w:szCs w:val="32"/>
          <w:highlight w:val="none"/>
          <w:shd w:val="clear" w:color="auto" w:fill="auto"/>
          <w:lang w:val="en-US" w:eastAsia="zh-CN"/>
        </w:rPr>
        <w:t>二类工业用地兼容</w:t>
      </w:r>
      <w:r>
        <w:rPr>
          <w:rFonts w:hint="default" w:ascii="仿宋_GB2312" w:hAnsi="仿宋_GB2312" w:eastAsia="仿宋_GB2312" w:cs="仿宋_GB2312"/>
          <w:sz w:val="32"/>
          <w:szCs w:val="32"/>
          <w:highlight w:val="none"/>
          <w:shd w:val="clear" w:color="auto" w:fill="auto"/>
          <w:lang w:val="en-US" w:eastAsia="zh-CN"/>
        </w:rPr>
        <w:t>二类</w:t>
      </w:r>
      <w:r>
        <w:rPr>
          <w:rFonts w:hint="eastAsia" w:ascii="仿宋_GB2312" w:hAnsi="仿宋_GB2312" w:eastAsia="仿宋_GB2312" w:cs="仿宋_GB2312"/>
          <w:sz w:val="32"/>
          <w:szCs w:val="32"/>
          <w:highlight w:val="none"/>
          <w:shd w:val="clear" w:color="auto" w:fill="auto"/>
          <w:lang w:val="en-US" w:eastAsia="zh-CN"/>
        </w:rPr>
        <w:t>物流</w:t>
      </w:r>
      <w:r>
        <w:rPr>
          <w:rFonts w:hint="default" w:ascii="仿宋_GB2312" w:hAnsi="仿宋_GB2312" w:eastAsia="仿宋_GB2312" w:cs="仿宋_GB2312"/>
          <w:sz w:val="32"/>
          <w:szCs w:val="32"/>
          <w:highlight w:val="none"/>
          <w:shd w:val="clear" w:color="auto" w:fill="auto"/>
          <w:lang w:val="en-US" w:eastAsia="zh-CN"/>
        </w:rPr>
        <w:t>仓储用地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）土地使用权出让年</w:t>
      </w:r>
      <w:r>
        <w:rPr>
          <w:rFonts w:hint="eastAsia" w:ascii="仿宋_GB2312" w:hAnsi="仿宋_GB2312" w:eastAsia="仿宋_GB2312" w:cs="仿宋_GB2312"/>
          <w:sz w:val="32"/>
          <w:szCs w:val="32"/>
          <w:highlight w:val="none"/>
          <w:shd w:val="clear" w:color="auto" w:fill="auto"/>
          <w:lang w:val="en-US" w:eastAsia="zh-CN"/>
        </w:rPr>
        <w:t>限</w:t>
      </w:r>
      <w:r>
        <w:rPr>
          <w:rFonts w:hint="eastAsia" w:ascii="仿宋_GB2312" w:hAnsi="仿宋_GB2312" w:eastAsia="仿宋_GB2312" w:cs="仿宋_GB2312"/>
          <w:sz w:val="32"/>
          <w:szCs w:val="32"/>
          <w:highlight w:val="none"/>
          <w:shd w:val="clear" w:color="auto" w:fill="auto"/>
        </w:rPr>
        <w:t>为：</w:t>
      </w:r>
      <w:r>
        <w:rPr>
          <w:rFonts w:hint="eastAsia" w:ascii="仿宋_GB2312" w:hAnsi="仿宋_GB2312" w:eastAsia="仿宋_GB2312" w:cs="仿宋_GB2312"/>
          <w:sz w:val="32"/>
          <w:szCs w:val="32"/>
          <w:highlight w:val="none"/>
          <w:shd w:val="clear" w:color="auto" w:fill="auto"/>
          <w:lang w:val="en-US" w:eastAsia="zh-CN"/>
        </w:rPr>
        <w:t>50年</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产业类型</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农产品加工业用地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 xml:space="preserve">）本地块交付时间为《国有土地使用权出让合同》签订之日。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（一）开发投资总额不少于</w:t>
      </w:r>
      <w:r>
        <w:rPr>
          <w:rFonts w:hint="eastAsia" w:ascii="仿宋_GB2312" w:hAnsi="仿宋_GB2312" w:eastAsia="仿宋_GB2312" w:cs="仿宋_GB2312"/>
          <w:sz w:val="32"/>
          <w:szCs w:val="32"/>
          <w:highlight w:val="none"/>
          <w:shd w:val="clear" w:color="auto" w:fill="auto"/>
          <w:lang w:val="en-US" w:eastAsia="zh-CN"/>
        </w:rPr>
        <w:t>2.88亿</w:t>
      </w:r>
      <w:r>
        <w:rPr>
          <w:rFonts w:hint="eastAsia" w:ascii="仿宋_GB2312" w:hAnsi="仿宋_GB2312" w:eastAsia="仿宋_GB2312" w:cs="仿宋_GB2312"/>
          <w:sz w:val="32"/>
          <w:szCs w:val="32"/>
          <w:highlight w:val="none"/>
          <w:shd w:val="clear" w:color="auto" w:fill="auto"/>
        </w:rPr>
        <w:t>元（含地价）。</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val="en-US"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highlight w:val="none"/>
          <w:shd w:val="clear" w:color="auto" w:fill="auto"/>
        </w:rPr>
        <w:t>PB20210019</w:t>
      </w:r>
      <w:r>
        <w:rPr>
          <w:rFonts w:hint="eastAsia" w:ascii="仿宋_GB2312" w:hAnsi="仿宋_GB2312" w:eastAsia="仿宋_GB2312" w:cs="仿宋_GB2312"/>
          <w:sz w:val="32"/>
          <w:szCs w:val="32"/>
          <w:highlight w:val="none"/>
          <w:shd w:val="clear" w:color="auto" w:fill="auto"/>
          <w:lang w:val="en-US" w:eastAsia="zh-CN"/>
        </w:rPr>
        <w:t>）的规划控制指标要求及有关规定进行规划设计</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sz w:val="32"/>
          <w:szCs w:val="32"/>
          <w:highlight w:val="none"/>
          <w:shd w:val="clear" w:color="auto" w:fill="auto"/>
        </w:rPr>
        <w:t>）土地成交价款须以人民币支付,竞得人在签订《出让合同》之日起30日内付清全部成交价款。</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项目规划建设方案</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highlight w:val="none"/>
          <w:shd w:val="clear" w:color="auto" w:fill="auto"/>
          <w:lang w:eastAsia="zh-CN"/>
        </w:rPr>
        <w:t>所报总平面图的主要技术经济指标：规</w:t>
      </w:r>
      <w:r>
        <w:rPr>
          <w:rFonts w:hint="eastAsia" w:ascii="仿宋_GB2312" w:hAnsi="仿宋_GB2312" w:eastAsia="仿宋_GB2312" w:cs="仿宋_GB2312"/>
          <w:color w:val="auto"/>
          <w:sz w:val="32"/>
          <w:szCs w:val="32"/>
          <w:lang w:eastAsia="zh-CN"/>
        </w:rPr>
        <w:t>划布局2栋厂房、1栋物流仓库、1栋宿舍，计算指标用地面积23070平方米，建筑层数地上最高9层，地下1层，建筑高度最高39.3米，计容积率总建筑面积54229.13平方米（其中行政办公及生活服务设施建筑占比10%，配电网开关站100.44平方米），容积率2.35，建筑密度36.48%（其中行政办公及生活服务设施用地占比2.5%），绿地率15%，机动车停车位203个（均为地上），非机动车停车位276个，应建设防空地下室面积215.29平方米，因宿舍层数最高9层，基础埋深小于3米，建设单位申请异地人防建设。各项指标满足《建设用地规划设计条件》（PB20210019)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投资强度不低于12500元/平方米，土地产出率不低于15000元/平方米/年，税收产出不低于350元/平方米/年。其中，土地产出率及税收产出，在项目投产后3年内逐年考核，3年内的平均值不得低于上述标准。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州市惠城区横沥镇人民政府提交项目投资计划书和时间安排表，并按月向惠州市惠城区横沥镇人民政府书面报告项目进展情况，直至项目投产。</w:t>
      </w:r>
    </w:p>
    <w:p>
      <w:pPr>
        <w:pStyle w:val="2"/>
        <w:ind w:left="0" w:leftChars="0" w:firstLine="640" w:firstLineChars="200"/>
        <w:rPr>
          <w:rFonts w:hint="eastAsia"/>
          <w:lang w:val="en-US" w:eastAsia="zh-CN"/>
        </w:rPr>
      </w:pPr>
      <w:r>
        <w:rPr>
          <w:rFonts w:hint="eastAsia" w:ascii="仿宋_GB2312" w:hAnsi="宋体" w:eastAsia="仿宋_GB2312" w:cs="宋体"/>
          <w:color w:val="auto"/>
          <w:kern w:val="0"/>
          <w:sz w:val="32"/>
          <w:szCs w:val="32"/>
        </w:rPr>
        <w:t>竞得人需与惠州市惠城区横沥镇人民政府签订《项目实施监管协议书》并完成监管协议公证手续。</w:t>
      </w:r>
    </w:p>
    <w:p>
      <w:pPr>
        <w:shd w:val="clear"/>
        <w:tabs>
          <w:tab w:val="left" w:pos="3388"/>
        </w:tabs>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）竞得人在签订《成交确认书》前，须与惠州市惠城区横沥镇人民政府签订《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惠州市惠城区横沥镇人民政府</w:t>
      </w:r>
      <w:r>
        <w:rPr>
          <w:rFonts w:hint="eastAsia" w:ascii="仿宋_GB2312" w:hAnsi="仿宋_GB2312" w:eastAsia="仿宋_GB2312" w:cs="仿宋_GB2312"/>
          <w:color w:val="auto"/>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495</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惠州市或</w:t>
      </w:r>
      <w:r>
        <w:rPr>
          <w:rFonts w:hint="eastAsia" w:ascii="仿宋_GB2312" w:hAnsi="仿宋_GB2312" w:eastAsia="仿宋_GB2312" w:cs="仿宋_GB2312"/>
          <w:sz w:val="32"/>
          <w:szCs w:val="32"/>
        </w:rPr>
        <w:t>惠城区</w:t>
      </w:r>
      <w:r>
        <w:rPr>
          <w:rFonts w:hint="eastAsia" w:ascii="仿宋_GB2312" w:hAnsi="仿宋_GB2312" w:eastAsia="仿宋_GB2312" w:cs="仿宋_GB2312"/>
          <w:sz w:val="32"/>
          <w:szCs w:val="32"/>
          <w:lang w:val="en-US" w:eastAsia="zh-CN"/>
        </w:rPr>
        <w:t>农业主管部门</w:t>
      </w:r>
      <w:r>
        <w:rPr>
          <w:rFonts w:hint="eastAsia" w:ascii="仿宋_GB2312" w:hAnsi="仿宋_GB2312" w:eastAsia="仿宋_GB2312" w:cs="仿宋_GB2312"/>
          <w:sz w:val="32"/>
          <w:szCs w:val="32"/>
        </w:rPr>
        <w:t>出具的与地块</w:t>
      </w:r>
      <w:r>
        <w:rPr>
          <w:rFonts w:hint="eastAsia" w:ascii="仿宋_GB2312" w:hAnsi="仿宋_GB2312" w:eastAsia="仿宋_GB2312" w:cs="仿宋_GB2312"/>
          <w:sz w:val="32"/>
          <w:szCs w:val="32"/>
          <w:lang w:val="en-US" w:eastAsia="zh-CN"/>
        </w:rPr>
        <w:t>用途一致的项目情况说明或与</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部门审查同意的与该地块用途一致的项目备案</w:t>
      </w:r>
      <w:r>
        <w:rPr>
          <w:rFonts w:hint="eastAsia" w:ascii="仿宋_GB2312" w:hAnsi="仿宋_GB2312" w:eastAsia="仿宋_GB2312" w:cs="仿宋_GB2312"/>
          <w:sz w:val="32"/>
          <w:szCs w:val="32"/>
        </w:rPr>
        <w:t>文件</w:t>
      </w:r>
      <w:r>
        <w:rPr>
          <w:rFonts w:hint="eastAsia" w:ascii="仿宋_GB2312" w:hAnsi="仿宋_GB2312" w:eastAsia="仿宋_GB2312" w:cs="仿宋_GB2312"/>
          <w:kern w:val="0"/>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壹仟陆佰伍拾万元整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1650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5月31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15</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15</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rPr>
        <w:t>PB20210019</w:t>
      </w:r>
      <w:r>
        <w:rPr>
          <w:rFonts w:hint="eastAsia" w:ascii="仿宋_GB2312" w:hAnsi="仿宋_GB2312" w:eastAsia="仿宋_GB2312" w:cs="仿宋_GB2312"/>
          <w:sz w:val="32"/>
          <w:szCs w:val="32"/>
          <w:highlight w:val="none"/>
          <w:shd w:val="clear" w:color="auto" w:fill="auto"/>
          <w:lang w:val="en-US" w:eastAsia="zh-CN"/>
        </w:rPr>
        <w:t>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15</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肆佰玖拾伍万元整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495</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竞买人与惠州市惠城区横沥镇人民政府签订的</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lang w:val="en-US" w:eastAsia="zh-CN"/>
        </w:rPr>
        <w:t>惠州市或</w:t>
      </w:r>
      <w:r>
        <w:rPr>
          <w:rFonts w:hint="eastAsia" w:ascii="仿宋_GB2312" w:hAnsi="仿宋_GB2312" w:eastAsia="仿宋_GB2312" w:cs="仿宋_GB2312"/>
          <w:sz w:val="32"/>
          <w:szCs w:val="32"/>
        </w:rPr>
        <w:t>惠城区</w:t>
      </w:r>
      <w:r>
        <w:rPr>
          <w:rFonts w:hint="eastAsia" w:ascii="仿宋_GB2312" w:hAnsi="仿宋_GB2312" w:eastAsia="仿宋_GB2312" w:cs="仿宋_GB2312"/>
          <w:sz w:val="32"/>
          <w:szCs w:val="32"/>
          <w:lang w:val="en-US" w:eastAsia="zh-CN"/>
        </w:rPr>
        <w:t>农业主管部门</w:t>
      </w:r>
      <w:r>
        <w:rPr>
          <w:rFonts w:hint="eastAsia" w:ascii="仿宋_GB2312" w:hAnsi="仿宋_GB2312" w:eastAsia="仿宋_GB2312" w:cs="仿宋_GB2312"/>
          <w:sz w:val="32"/>
          <w:szCs w:val="32"/>
        </w:rPr>
        <w:t>出具的与地块</w:t>
      </w:r>
      <w:r>
        <w:rPr>
          <w:rFonts w:hint="eastAsia" w:ascii="仿宋_GB2312" w:hAnsi="仿宋_GB2312" w:eastAsia="仿宋_GB2312" w:cs="仿宋_GB2312"/>
          <w:sz w:val="32"/>
          <w:szCs w:val="32"/>
          <w:lang w:val="en-US" w:eastAsia="zh-CN"/>
        </w:rPr>
        <w:t>用途一致的项目情况说明或与</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部门审查同意的与该地块用途一致的项目备案</w:t>
      </w:r>
      <w:r>
        <w:rPr>
          <w:rFonts w:hint="eastAsia" w:ascii="仿宋_GB2312" w:hAnsi="仿宋_GB2312" w:eastAsia="仿宋_GB2312" w:cs="仿宋_GB2312"/>
          <w:sz w:val="32"/>
          <w:szCs w:val="32"/>
        </w:rPr>
        <w:t>文件</w:t>
      </w:r>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bookmarkStart w:id="8" w:name="_GoBack"/>
      <w:bookmarkEnd w:id="8"/>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2022年5月10日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42C6BAB"/>
    <w:rsid w:val="04BB2A35"/>
    <w:rsid w:val="04F7599A"/>
    <w:rsid w:val="05280DC9"/>
    <w:rsid w:val="054F511E"/>
    <w:rsid w:val="05616BEE"/>
    <w:rsid w:val="05AA6043"/>
    <w:rsid w:val="062E1CCB"/>
    <w:rsid w:val="065D58C0"/>
    <w:rsid w:val="06E22DF8"/>
    <w:rsid w:val="071F73B3"/>
    <w:rsid w:val="077D5D24"/>
    <w:rsid w:val="07F629A0"/>
    <w:rsid w:val="085F2E50"/>
    <w:rsid w:val="091E26EA"/>
    <w:rsid w:val="09317644"/>
    <w:rsid w:val="097F0039"/>
    <w:rsid w:val="0A771CCA"/>
    <w:rsid w:val="0A812477"/>
    <w:rsid w:val="0B1406EF"/>
    <w:rsid w:val="0C40433F"/>
    <w:rsid w:val="0C8642BF"/>
    <w:rsid w:val="0D261A5B"/>
    <w:rsid w:val="0DCB3B54"/>
    <w:rsid w:val="0FB217AF"/>
    <w:rsid w:val="0FB2799E"/>
    <w:rsid w:val="10152918"/>
    <w:rsid w:val="105A2768"/>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8220C10"/>
    <w:rsid w:val="19546A32"/>
    <w:rsid w:val="1960257D"/>
    <w:rsid w:val="19D941D6"/>
    <w:rsid w:val="1B002CF4"/>
    <w:rsid w:val="1C431BA6"/>
    <w:rsid w:val="1CB6407B"/>
    <w:rsid w:val="1D717DCD"/>
    <w:rsid w:val="1DE56E00"/>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24E22EE"/>
    <w:rsid w:val="33A33367"/>
    <w:rsid w:val="33CE0AAA"/>
    <w:rsid w:val="34B40523"/>
    <w:rsid w:val="34C41D04"/>
    <w:rsid w:val="34CD617E"/>
    <w:rsid w:val="3588604B"/>
    <w:rsid w:val="360B04FE"/>
    <w:rsid w:val="361C1DB9"/>
    <w:rsid w:val="378C6660"/>
    <w:rsid w:val="37FB7A76"/>
    <w:rsid w:val="38703C12"/>
    <w:rsid w:val="38A76E9E"/>
    <w:rsid w:val="38DE5E51"/>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076A91"/>
    <w:rsid w:val="493B6F1B"/>
    <w:rsid w:val="4AFF2E69"/>
    <w:rsid w:val="4B8E7FA9"/>
    <w:rsid w:val="4BA610FC"/>
    <w:rsid w:val="4BC3115D"/>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D006096"/>
    <w:rsid w:val="5D731ABE"/>
    <w:rsid w:val="5DB15592"/>
    <w:rsid w:val="5DF81F1B"/>
    <w:rsid w:val="5DFB50B1"/>
    <w:rsid w:val="5E2E0948"/>
    <w:rsid w:val="5EE41DB0"/>
    <w:rsid w:val="600D408B"/>
    <w:rsid w:val="610A5EBF"/>
    <w:rsid w:val="61245A3C"/>
    <w:rsid w:val="6178185B"/>
    <w:rsid w:val="617F00E3"/>
    <w:rsid w:val="61C04C47"/>
    <w:rsid w:val="61C170AA"/>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962112"/>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3</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2022-05-05T06:57:00Z</cp:lastPrinted>
  <dcterms:modified xsi:type="dcterms:W3CDTF">2022-05-10T06:34:45Z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